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0EB2" w:rsidRDefault="00530EB2">
      <w:pPr>
        <w:spacing w:after="240"/>
      </w:pPr>
      <w:bookmarkStart w:id="0" w:name="_GoBack"/>
      <w:bookmarkEnd w:id="0"/>
    </w:p>
    <w:p w:rsidR="00530EB2" w:rsidRDefault="00530EB2">
      <w:pPr>
        <w:spacing w:after="240"/>
      </w:pPr>
    </w:p>
    <w:p w:rsidR="00DE2B08" w:rsidRDefault="00DE2B08">
      <w:pPr>
        <w:spacing w:after="240"/>
      </w:pPr>
    </w:p>
    <w:p w:rsidR="00530EB2" w:rsidRDefault="00530EB2">
      <w:pPr>
        <w:spacing w:after="240"/>
      </w:pPr>
    </w:p>
    <w:p w:rsidR="00530EB2" w:rsidRDefault="00530EB2">
      <w:pPr>
        <w:spacing w:after="240"/>
      </w:pPr>
    </w:p>
    <w:p w:rsidR="00530EB2" w:rsidRDefault="00DE2B08">
      <w:pPr>
        <w:spacing w:after="240"/>
        <w:rPr>
          <w:b/>
        </w:rPr>
      </w:pPr>
      <w:r>
        <w:rPr>
          <w:b/>
        </w:rPr>
        <w:t xml:space="preserve">                          </w:t>
      </w:r>
      <w:r w:rsidR="00B8670D">
        <w:rPr>
          <w:b/>
        </w:rPr>
        <w:t>Research Paper:</w:t>
      </w:r>
      <w:r>
        <w:rPr>
          <w:b/>
        </w:rPr>
        <w:t xml:space="preserve"> </w:t>
      </w:r>
      <w:r w:rsidRPr="001C6C40">
        <w:rPr>
          <w:b/>
        </w:rPr>
        <w:t>Weingarten Rights Application and Its Violation Remedies</w:t>
      </w:r>
    </w:p>
    <w:p w:rsidR="007E1DF2" w:rsidRDefault="007E1DF2">
      <w:pPr>
        <w:spacing w:after="240"/>
        <w:rPr>
          <w:b/>
        </w:rPr>
      </w:pPr>
    </w:p>
    <w:p w:rsidR="00AA7D14" w:rsidRPr="00E943DF" w:rsidRDefault="00AA7D14" w:rsidP="00AA7D14">
      <w:pPr>
        <w:spacing w:line="480" w:lineRule="auto"/>
        <w:jc w:val="center"/>
      </w:pPr>
      <w:r w:rsidRPr="00E943DF">
        <w:t>Student’s Name</w:t>
      </w:r>
    </w:p>
    <w:p w:rsidR="00AA7D14" w:rsidRPr="00E943DF" w:rsidRDefault="00AA7D14" w:rsidP="00AA7D14">
      <w:pPr>
        <w:spacing w:line="480" w:lineRule="auto"/>
        <w:jc w:val="center"/>
      </w:pPr>
      <w:r w:rsidRPr="00E943DF">
        <w:t>Institutional Affiliation</w:t>
      </w:r>
    </w:p>
    <w:p w:rsidR="00AA7D14" w:rsidRPr="00E943DF" w:rsidRDefault="00AA7D14" w:rsidP="00AA7D14">
      <w:pPr>
        <w:spacing w:line="480" w:lineRule="auto"/>
        <w:jc w:val="center"/>
      </w:pPr>
      <w:r w:rsidRPr="00E943DF">
        <w:t>Course Code and Number</w:t>
      </w:r>
    </w:p>
    <w:p w:rsidR="00AA7D14" w:rsidRPr="00E943DF" w:rsidRDefault="00AA7D14" w:rsidP="00AA7D14">
      <w:pPr>
        <w:spacing w:line="480" w:lineRule="auto"/>
        <w:jc w:val="center"/>
      </w:pPr>
      <w:r w:rsidRPr="00E943DF">
        <w:t>Instructor’s Name</w:t>
      </w:r>
    </w:p>
    <w:p w:rsidR="00AA7D14" w:rsidRPr="00E943DF" w:rsidRDefault="00AA7D14" w:rsidP="00AA7D14">
      <w:pPr>
        <w:spacing w:line="480" w:lineRule="auto"/>
        <w:jc w:val="center"/>
      </w:pPr>
      <w:r w:rsidRPr="00E943DF">
        <w:t>Date</w:t>
      </w:r>
    </w:p>
    <w:p w:rsidR="00AA7D14" w:rsidRDefault="00AA7D14" w:rsidP="00AA7D14">
      <w:pPr>
        <w:spacing w:after="240" w:line="480" w:lineRule="auto"/>
        <w:ind w:firstLine="720"/>
      </w:pPr>
    </w:p>
    <w:p w:rsidR="00530EB2" w:rsidRDefault="00530EB2">
      <w:pPr>
        <w:spacing w:after="240"/>
      </w:pPr>
    </w:p>
    <w:p w:rsidR="00530EB2" w:rsidRDefault="00530EB2">
      <w:pPr>
        <w:spacing w:after="240"/>
      </w:pPr>
    </w:p>
    <w:p w:rsidR="00530EB2" w:rsidRDefault="00530EB2">
      <w:pPr>
        <w:spacing w:after="240"/>
      </w:pPr>
    </w:p>
    <w:p w:rsidR="00530EB2" w:rsidRDefault="00530EB2">
      <w:pPr>
        <w:spacing w:after="240"/>
      </w:pPr>
    </w:p>
    <w:p w:rsidR="00530EB2" w:rsidRDefault="00530EB2">
      <w:pPr>
        <w:spacing w:after="240"/>
      </w:pPr>
    </w:p>
    <w:p w:rsidR="00530EB2" w:rsidRDefault="00530EB2">
      <w:pPr>
        <w:spacing w:after="240"/>
      </w:pPr>
    </w:p>
    <w:p w:rsidR="00530EB2" w:rsidRDefault="00530EB2">
      <w:pPr>
        <w:spacing w:after="240"/>
      </w:pPr>
    </w:p>
    <w:p w:rsidR="00530EB2" w:rsidRDefault="00530EB2">
      <w:pPr>
        <w:spacing w:after="240"/>
      </w:pPr>
    </w:p>
    <w:p w:rsidR="00530EB2" w:rsidRDefault="00530EB2">
      <w:pPr>
        <w:spacing w:after="240"/>
      </w:pPr>
    </w:p>
    <w:p w:rsidR="00530EB2" w:rsidRDefault="00530EB2">
      <w:pPr>
        <w:spacing w:after="240"/>
      </w:pPr>
    </w:p>
    <w:p w:rsidR="00530EB2" w:rsidRDefault="00530EB2">
      <w:pPr>
        <w:spacing w:after="240"/>
      </w:pPr>
    </w:p>
    <w:p w:rsidR="001C6C40" w:rsidRDefault="001C6C40">
      <w:pPr>
        <w:spacing w:after="240"/>
      </w:pPr>
    </w:p>
    <w:p w:rsidR="00530EB2" w:rsidRDefault="00530EB2">
      <w:pPr>
        <w:spacing w:after="240"/>
      </w:pPr>
    </w:p>
    <w:p w:rsidR="00530EB2" w:rsidRDefault="001C6C40" w:rsidP="002B585B">
      <w:pPr>
        <w:spacing w:after="240" w:line="480" w:lineRule="auto"/>
        <w:ind w:firstLine="720"/>
        <w:rPr>
          <w:b/>
        </w:rPr>
      </w:pPr>
      <w:r>
        <w:rPr>
          <w:b/>
        </w:rPr>
        <w:t xml:space="preserve">       </w:t>
      </w:r>
      <w:r w:rsidR="002B585B">
        <w:rPr>
          <w:b/>
        </w:rPr>
        <w:t xml:space="preserve">   </w:t>
      </w:r>
      <w:r>
        <w:rPr>
          <w:b/>
        </w:rPr>
        <w:t xml:space="preserve"> </w:t>
      </w:r>
      <w:r w:rsidRPr="001C6C40">
        <w:rPr>
          <w:b/>
        </w:rPr>
        <w:t>Weingarten Rights Application and Its Violation Remedies</w:t>
      </w:r>
    </w:p>
    <w:p w:rsidR="00A9479D" w:rsidRDefault="008E607D" w:rsidP="002B585B">
      <w:pPr>
        <w:spacing w:after="240" w:line="480" w:lineRule="auto"/>
        <w:ind w:firstLine="720"/>
      </w:pPr>
      <w:r>
        <w:t>Under the Weingarten rule, an employee is entitled to a representation by their collective bargaining representative during investigation interviews. This is usually where labor organization has collective bargaining rights. US Supreme Court announced the rights of employees to the presence of a union representative in 1975. If an employee has reasons to believe that questioning by the employer will lead to discipline, the employee has the right upon request to a representation by a labor organization. This is the case unless the exercise of the right to representation interferes with employers' operation</w:t>
      </w:r>
      <w:r w:rsidR="008D4C9A">
        <w:t>s</w:t>
      </w:r>
      <w:r>
        <w:t xml:space="preserve">. </w:t>
      </w:r>
    </w:p>
    <w:p w:rsidR="00DE2B08" w:rsidRDefault="008E607D" w:rsidP="002B585B">
      <w:pPr>
        <w:spacing w:before="240" w:after="240" w:line="480" w:lineRule="auto"/>
        <w:ind w:firstLine="720"/>
      </w:pPr>
      <w:r>
        <w:t xml:space="preserve">The rule incorporates the following rules: an employee must make a clear request for union representation during or before an interview. They cannot be punished for making such a request. Secondly, after making the request, an employee must choose </w:t>
      </w:r>
      <w:r w:rsidR="00B8670D">
        <w:t>any</w:t>
      </w:r>
      <w:r>
        <w:t xml:space="preserve"> of the three options. Their employers must either grant the request or delay questioning until the arrival of the representative, deny the request and end the interview or give the employee a choice of completing the interview or having an interview without a representative. Finall</w:t>
      </w:r>
      <w:r w:rsidR="004C3356">
        <w:t>y, suppose the supervisor denies</w:t>
      </w:r>
      <w:r>
        <w:t xml:space="preserve"> the request for union representation or does an unfair</w:t>
      </w:r>
      <w:r w:rsidR="004C3356">
        <w:t xml:space="preserve"> labor</w:t>
      </w:r>
      <w:r>
        <w:t xml:space="preserve"> practice.</w:t>
      </w:r>
      <w:r w:rsidR="004C3356">
        <w:t xml:space="preserve"> For instance, a supervisor could interfere, coerce or restrain an employee in the exercise to assist or join </w:t>
      </w:r>
      <w:r w:rsidR="008D4C9A">
        <w:t xml:space="preserve">a </w:t>
      </w:r>
      <w:r w:rsidR="004C3356">
        <w:t xml:space="preserve">trade union for collective bargaining. </w:t>
      </w:r>
      <w:r w:rsidR="00B8670D">
        <w:t>In addition</w:t>
      </w:r>
      <w:r w:rsidR="004C3356">
        <w:t>, the employer could threaten an employee with dismissal if they join the union.</w:t>
      </w:r>
      <w:r>
        <w:t xml:space="preserve"> In that case, the employee has a right to refuse the answer without disciplining the employee for the refusal.</w:t>
      </w:r>
    </w:p>
    <w:p w:rsidR="004C5B47" w:rsidRDefault="004C5B47" w:rsidP="002B585B">
      <w:pPr>
        <w:spacing w:before="240" w:after="240" w:line="480" w:lineRule="auto"/>
        <w:ind w:firstLine="720"/>
      </w:pPr>
    </w:p>
    <w:p w:rsidR="004C5B47" w:rsidRDefault="004C5B47" w:rsidP="002B585B">
      <w:pPr>
        <w:spacing w:before="240" w:after="240" w:line="480" w:lineRule="auto"/>
        <w:ind w:firstLine="720"/>
      </w:pPr>
    </w:p>
    <w:p w:rsidR="00A9479D" w:rsidRPr="00B8670D" w:rsidRDefault="008E607D" w:rsidP="00B8670D">
      <w:pPr>
        <w:spacing w:before="240" w:after="240" w:line="480" w:lineRule="auto"/>
        <w:jc w:val="center"/>
      </w:pPr>
      <w:r w:rsidRPr="00B8670D">
        <w:rPr>
          <w:b/>
          <w:bCs/>
        </w:rPr>
        <w:t xml:space="preserve">Research </w:t>
      </w:r>
      <w:r w:rsidR="00B8670D" w:rsidRPr="00B8670D">
        <w:rPr>
          <w:b/>
          <w:bCs/>
        </w:rPr>
        <w:t>Questions</w:t>
      </w:r>
    </w:p>
    <w:p w:rsidR="00B8670D" w:rsidRPr="00EE2D06" w:rsidRDefault="008E607D" w:rsidP="00084190">
      <w:pPr>
        <w:pStyle w:val="ListParagraph"/>
        <w:numPr>
          <w:ilvl w:val="0"/>
          <w:numId w:val="1"/>
        </w:numPr>
        <w:spacing w:before="240" w:after="240" w:line="480" w:lineRule="auto"/>
        <w:ind w:firstLine="720"/>
        <w:rPr>
          <w:i/>
          <w:iCs/>
        </w:rPr>
      </w:pPr>
      <w:r w:rsidRPr="00EE2D06">
        <w:rPr>
          <w:i/>
          <w:iCs/>
        </w:rPr>
        <w:t>On what conditions do the Weingarten rule applies to an employee</w:t>
      </w:r>
      <w:r w:rsidR="00B8670D" w:rsidRPr="00EE2D06">
        <w:rPr>
          <w:i/>
          <w:iCs/>
        </w:rPr>
        <w:t>?</w:t>
      </w:r>
    </w:p>
    <w:p w:rsidR="002B585B" w:rsidRPr="00EE2D06" w:rsidRDefault="008E607D" w:rsidP="00084190">
      <w:pPr>
        <w:pStyle w:val="ListParagraph"/>
        <w:numPr>
          <w:ilvl w:val="0"/>
          <w:numId w:val="1"/>
        </w:numPr>
        <w:spacing w:before="240" w:after="240" w:line="480" w:lineRule="auto"/>
        <w:ind w:firstLine="720"/>
        <w:rPr>
          <w:i/>
          <w:iCs/>
        </w:rPr>
      </w:pPr>
      <w:r w:rsidRPr="00EE2D06">
        <w:rPr>
          <w:i/>
          <w:iCs/>
        </w:rPr>
        <w:t xml:space="preserve">What </w:t>
      </w:r>
      <w:r w:rsidRPr="00EE2D06">
        <w:rPr>
          <w:iCs/>
        </w:rPr>
        <w:t>remedies</w:t>
      </w:r>
      <w:r w:rsidRPr="00EE2D06">
        <w:rPr>
          <w:i/>
          <w:iCs/>
        </w:rPr>
        <w:t xml:space="preserve"> do a Weingarten Violation ha</w:t>
      </w:r>
      <w:r w:rsidR="008D4C9A" w:rsidRPr="00EE2D06">
        <w:rPr>
          <w:i/>
          <w:iCs/>
        </w:rPr>
        <w:t>ve</w:t>
      </w:r>
      <w:r w:rsidR="00B8670D" w:rsidRPr="00EE2D06">
        <w:rPr>
          <w:i/>
          <w:iCs/>
        </w:rPr>
        <w:t>?</w:t>
      </w:r>
    </w:p>
    <w:p w:rsidR="00A9479D" w:rsidRDefault="002B585B" w:rsidP="00B8670D">
      <w:pPr>
        <w:spacing w:before="240" w:after="240" w:line="480" w:lineRule="auto"/>
        <w:jc w:val="center"/>
        <w:rPr>
          <w:b/>
          <w:bCs/>
        </w:rPr>
      </w:pPr>
      <w:r>
        <w:rPr>
          <w:b/>
          <w:bCs/>
        </w:rPr>
        <w:t>Literature review</w:t>
      </w:r>
    </w:p>
    <w:p w:rsidR="00A9479D" w:rsidRDefault="008E607D" w:rsidP="002B585B">
      <w:pPr>
        <w:spacing w:before="240" w:after="240" w:line="480" w:lineRule="auto"/>
        <w:ind w:firstLine="720"/>
      </w:pPr>
      <w:r>
        <w:t>There are various conditions when Weingarten applies to an employee. The rule applies when an employee is being questioned</w:t>
      </w:r>
      <w:r w:rsidR="00583181">
        <w:t xml:space="preserve"> as </w:t>
      </w:r>
      <w:r w:rsidR="008D4C9A">
        <w:t xml:space="preserve">a </w:t>
      </w:r>
      <w:r w:rsidR="00583181">
        <w:t>result of actions or allegations that could result in disciplinary action from an employer</w:t>
      </w:r>
      <w:r>
        <w:t xml:space="preserve">. The right to </w:t>
      </w:r>
      <w:r w:rsidR="008D4C9A">
        <w:t xml:space="preserve">the </w:t>
      </w:r>
      <w:r>
        <w:t>representation only exists when an employer is examining an employer to provide information</w:t>
      </w:r>
      <w:r w:rsidR="00583181">
        <w:t xml:space="preserve"> that could be used on </w:t>
      </w:r>
      <w:r w:rsidR="008D4C9A">
        <w:t xml:space="preserve">the </w:t>
      </w:r>
      <w:r w:rsidR="00583181">
        <w:t>basis for discipline</w:t>
      </w:r>
      <w:r w:rsidR="002607BF">
        <w:t xml:space="preserve"> in a disciplinary meeting</w:t>
      </w:r>
      <w:r w:rsidR="00583181">
        <w:t xml:space="preserve">. </w:t>
      </w:r>
      <w:r>
        <w:t xml:space="preserve">Nevertheless, no right to representation is allowed where an employer is merely reprimanding the employee or instance of disciplinary notice issuance or where a supervisor is speaking with an employee as part of an evaluation process (Swearengen, 2016). The right to representation does not apply to interviews that begin as routine and eventually turn into an investigation session. The rule applies during a procedure considered a functional equivalent of questioning, including body searches, polygraphs, and drug tests. The right to representation coexists where an employer is inquiring information from an employee in a written form (Sachs 2017). There are various cases when Weingarten's rights are applicable when an employer is eliciting information from an employee in preparation of a report that will be used in a disciplinary investigation. An employer should not be able to deny employees of their Weingarten rights </w:t>
      </w:r>
      <w:r w:rsidR="00B8670D">
        <w:t>because</w:t>
      </w:r>
      <w:r>
        <w:t xml:space="preserve"> it has required them to produce written statements to submit to oral interviews.</w:t>
      </w:r>
    </w:p>
    <w:p w:rsidR="00A9479D" w:rsidRDefault="008E607D" w:rsidP="002B585B">
      <w:pPr>
        <w:spacing w:before="240" w:after="240" w:line="480" w:lineRule="auto"/>
        <w:ind w:firstLine="720"/>
      </w:pPr>
      <w:r>
        <w:t xml:space="preserve">Next, the Weingarten can only apply if an employee requests representation. For the rule to apply, the employee has to request a representation. They can choose their representative, whether a union official or another employee, without any interference from their employer. Employers must comply with an employee's decisions and requests even if it would delay a meeting schedule. The ultimate role of the representative is to </w:t>
      </w:r>
      <w:r w:rsidR="002B585B">
        <w:t>advi</w:t>
      </w:r>
      <w:r w:rsidR="008D4C9A">
        <w:t>s</w:t>
      </w:r>
      <w:r w:rsidR="002B585B">
        <w:t>e</w:t>
      </w:r>
      <w:r>
        <w:t xml:space="preserve"> and counsel the employee before the meeting. </w:t>
      </w:r>
      <w:r w:rsidR="00B8670D">
        <w:t>In addition</w:t>
      </w:r>
      <w:r>
        <w:t xml:space="preserve">, they can listen carefully to their </w:t>
      </w:r>
      <w:r w:rsidR="00B8670D">
        <w:t>allegations, act as a witness,</w:t>
      </w:r>
      <w:r>
        <w:t xml:space="preserve"> and </w:t>
      </w:r>
      <w:r w:rsidR="002B585B">
        <w:t>copy</w:t>
      </w:r>
      <w:r>
        <w:t xml:space="preserve"> the charges or allegations</w:t>
      </w:r>
      <w:r w:rsidR="002B585B">
        <w:t xml:space="preserve"> for reference purposes</w:t>
      </w:r>
      <w:r>
        <w:t xml:space="preserve">. An employer must invoke the rules. </w:t>
      </w:r>
      <w:r w:rsidR="008D4C9A">
        <w:t>Employees</w:t>
      </w:r>
      <w:r>
        <w:t xml:space="preserve"> ought to request a representation as soon as they become aware that an employer is enquiring information that may result in discipline or at some point may support disciplinary action (Swearengen, 2016). They can request at any time, including in the middle of a meeting. If the employee delays the Weingarten request, the employer can utilize the information they acquired during the request as long as the representation is honored promptly. Employees are not supposed to repeat a request for representation more than once. It is incumbent upon employers to offer Weingarten rights despite being made on a lower-level supervisor who is not conducting the meeting. An employee may have the right to representation under Weingarten under the following situations; A supervisors request for a written statement for interrogations about an incident in which the employees own conduct may be at issue; investigatory interviews-in which supervisors seek to elicit information from employees explain their behavior to discover the truths about the employee's story, a meeting where employer either has decided whether to impose discipline or </w:t>
      </w:r>
      <w:r w:rsidR="008D4C9A">
        <w:t>needs</w:t>
      </w:r>
      <w:r>
        <w:t xml:space="preserve"> information to support the decision.</w:t>
      </w:r>
    </w:p>
    <w:p w:rsidR="00A9479D" w:rsidRDefault="008E607D" w:rsidP="002B585B">
      <w:pPr>
        <w:spacing w:before="240" w:after="240" w:line="480" w:lineRule="auto"/>
        <w:ind w:firstLine="720"/>
      </w:pPr>
      <w:r>
        <w:t xml:space="preserve">The rule also applies if an employee reasonably has believed that discipline could result. In other words, the employee must have a reasonable belief, which reveals whether they are entitled to a representation. If the employee believes that discipline may result from the interview, the employee will be entitled to a representation even if the employer </w:t>
      </w:r>
      <w:r w:rsidR="00B8670D">
        <w:t>did not intend to impose</w:t>
      </w:r>
      <w:r>
        <w:t xml:space="preserve"> discipline. </w:t>
      </w:r>
      <w:r w:rsidR="008D4C9A">
        <w:t>Various factors</w:t>
      </w:r>
      <w:r w:rsidR="00B8670D">
        <w:t xml:space="preserve"> go into the r</w:t>
      </w:r>
      <w:r>
        <w:t xml:space="preserve">easonableness assessment, including the ranks of individuals conducting the interview. If there is a more significant difference in levels with the interview, the more reason to believe that discipline is imminent. </w:t>
      </w:r>
      <w:r w:rsidR="00B8670D">
        <w:t>In addition</w:t>
      </w:r>
      <w:r>
        <w:t>, where the interview was conducted is another factor. If it was held in a formal interview room rather than the employee's worksite, then it is more reasonable to result in discipline (Swearengen, 2016). Finally, it is important to know how an employer warned an employee about a pattern of conduct; if they did, discipline has a more reasonable reason to result. Since Weingarten</w:t>
      </w:r>
      <w:r w:rsidR="008D4C9A">
        <w:t>'s</w:t>
      </w:r>
      <w:r>
        <w:t xml:space="preserve"> rights turn on the employee's reasonable belief that discipline may result from an interview, the employer's designation of an </w:t>
      </w:r>
      <w:r w:rsidR="00B8670D">
        <w:t>employee,</w:t>
      </w:r>
      <w:r>
        <w:t xml:space="preserve"> as a "witness" will not, in any case, eliminate Weingarten's rights. Often Weingarten issues arise in the context of criminal investigations. Since the rights are based on whether the employee has reasons to believe that discipline would result from the interview, questioning is </w:t>
      </w:r>
      <w:r w:rsidR="00B8670D">
        <w:t>done,</w:t>
      </w:r>
      <w:r>
        <w:t xml:space="preserve"> as part of criminal investigation ought to avoid negotiating the employee's right to representation under Weingarten (CENTER and II, 2017). Nonetheless, cases are split on the issues.</w:t>
      </w:r>
    </w:p>
    <w:p w:rsidR="00A9479D" w:rsidRDefault="008E607D" w:rsidP="002B585B">
      <w:pPr>
        <w:spacing w:before="240" w:after="240" w:line="480" w:lineRule="auto"/>
        <w:ind w:firstLine="720"/>
      </w:pPr>
      <w:r>
        <w:t>An employer may commit a prohibited practice which is under chapter 150E OF The Weingarten rule, if they refuse to grant an employee request for representation during a disciplinary meeting or if an employee disciplines an employee for asserting their rights (John, 2016). Besides, a violation could be imposed if an employer threatens an employee exercising their Weingarten rights or threatens a union representative for assisting an employee in a disciplinary meeting. Labor boards and organizations wrestle with an adequate remedy when an employer violates Weingarten's rights (O'Brien, 2016). Reversing any discipline that an employer relies on any questioning in the disciplinary decision is the most common present approach. Similarly, if an employer violates a labor organization's Weingarten tights, any disciplinary decision imposed will be unturned. This is ruled unless an employer finds out that it would have reached the same decision without relying on facts collected during the interview, in which they violated the Weingarten rule.</w:t>
      </w:r>
    </w:p>
    <w:p w:rsidR="00A9479D" w:rsidRDefault="008E607D" w:rsidP="002B585B">
      <w:pPr>
        <w:spacing w:before="240" w:after="240" w:line="480" w:lineRule="auto"/>
        <w:ind w:firstLine="720"/>
      </w:pPr>
      <w:r>
        <w:t xml:space="preserve">Moreover, upon violation of Weingarten's rights, the labor relation commissions may order the employer to rescind any retaliatory threats imposed because an employee or representative exercised the rights (John, 2016). In addition, the commission will also order the discipline rescinded if they find out that the discipline that was imposed on an employee was ultimately affected by the information obtained at an illegal meeting. Employers will further be ordered to post a notice of the violation. In addition, the NLRB has the authority to request remedial posting or utilize any other remedy to make the employee </w:t>
      </w:r>
      <w:r w:rsidR="00B8670D">
        <w:t>completely</w:t>
      </w:r>
      <w:r>
        <w:t xml:space="preserve"> gain. This may include back pay or reinstatement.</w:t>
      </w:r>
      <w:r w:rsidR="004C5B47">
        <w:t xml:space="preserve"> </w:t>
      </w:r>
      <w:r w:rsidR="004C5B47" w:rsidRPr="004C5B47">
        <w:t>Therefore, employee will not face any disciplinary action from the employer. Reinstatement ensures strengthening and accountability of employee rights.</w:t>
      </w:r>
    </w:p>
    <w:p w:rsidR="00B873EC" w:rsidRDefault="00B873EC" w:rsidP="002B585B">
      <w:pPr>
        <w:spacing w:before="240" w:after="240" w:line="480" w:lineRule="auto"/>
        <w:ind w:firstLine="720"/>
      </w:pPr>
      <w:r>
        <w:t>Finally, upon the violation of Weingarten rights, the NLRB has authority to order a repeat of the investigations with employee having full union representation.  This ensures that the employee will receive the right disciplinary action based on the allegations.  The representation ensures that union representative</w:t>
      </w:r>
      <w:r w:rsidR="00BC5E27">
        <w:t xml:space="preserve"> has</w:t>
      </w:r>
      <w:r>
        <w:t xml:space="preserve"> </w:t>
      </w:r>
      <w:r w:rsidRPr="00B873EC">
        <w:t xml:space="preserve">freedom to assist and consult with the affected </w:t>
      </w:r>
      <w:r w:rsidR="007E1DF2" w:rsidRPr="00B873EC">
        <w:t>employee</w:t>
      </w:r>
      <w:r w:rsidR="007E1DF2">
        <w:t xml:space="preserve"> (Murphy, 2020)</w:t>
      </w:r>
      <w:r>
        <w:t>.</w:t>
      </w:r>
      <w:r w:rsidR="00BC5E27" w:rsidRPr="00BC5E27">
        <w:t xml:space="preserve"> The agency is ordered to reconsider the disciplinary action taken against the employee after the investigatory interview is repeated a second time.</w:t>
      </w:r>
      <w:r w:rsidR="00BC5E27">
        <w:t xml:space="preserve"> Besides,</w:t>
      </w:r>
      <w:r w:rsidR="00BC5E27" w:rsidRPr="00BC5E27">
        <w:t xml:space="preserve"> if, after reconsideration, the agency determines that the disciplinary action was unwarranted or that a reduction in the penalty is warranted, the employee is reimbursed for any losses incurred to the extent that the agency's decision on reconsideration is consistent with the employee's rights under the law.</w:t>
      </w:r>
    </w:p>
    <w:p w:rsidR="007E1DF2" w:rsidRDefault="007E1DF2" w:rsidP="002B585B">
      <w:pPr>
        <w:spacing w:before="240" w:after="240" w:line="480" w:lineRule="auto"/>
        <w:ind w:firstLine="720"/>
      </w:pPr>
    </w:p>
    <w:p w:rsidR="00A9479D" w:rsidRPr="002B585B" w:rsidRDefault="002B585B" w:rsidP="00B8670D">
      <w:pPr>
        <w:spacing w:before="240" w:after="240" w:line="480" w:lineRule="auto"/>
        <w:jc w:val="center"/>
        <w:rPr>
          <w:b/>
        </w:rPr>
      </w:pPr>
      <w:r w:rsidRPr="002B585B">
        <w:rPr>
          <w:b/>
        </w:rPr>
        <w:t>Conclusion</w:t>
      </w:r>
    </w:p>
    <w:p w:rsidR="00A9479D" w:rsidRDefault="008E607D" w:rsidP="002B585B">
      <w:pPr>
        <w:spacing w:before="240" w:after="240" w:line="480" w:lineRule="auto"/>
        <w:ind w:firstLine="720"/>
      </w:pPr>
      <w:r>
        <w:t xml:space="preserve">Weingarten rights are among the most vital workplace rights given to a certain union to provide employees protection under the National Labor Relations Act. Unions such as Stewards and others are immediate responders in employee protection in a disciplinary process. The righto representation is entrenched in labor relations law and the development and monitoring done by labor unions. The rule </w:t>
      </w:r>
      <w:r w:rsidR="008D4C9A">
        <w:t>applies</w:t>
      </w:r>
      <w:r>
        <w:t xml:space="preserve"> only to the union employees. However, the debate is still on to include non-union employees in the protection of their rights. The rights may apply when an employee has a reasonable expectation that discipline may result or where the purpose of an interview is to investigate an employee's inadequate performance or reported misconduct where discipline may result. </w:t>
      </w:r>
      <w:r w:rsidR="00B8670D">
        <w:t>In addition</w:t>
      </w:r>
      <w:r>
        <w:t>, the rights may apply where the meeting aims to elicit information, the employee's side of the story, or determine evidence to determine if discipline is warranted or support a disciplinary decision already made. The conditions above give rise to Weingarten's rights.</w:t>
      </w:r>
    </w:p>
    <w:p w:rsidR="00A9479D" w:rsidRDefault="008E607D" w:rsidP="002B585B">
      <w:pPr>
        <w:spacing w:before="240" w:after="240" w:line="480" w:lineRule="auto"/>
        <w:ind w:firstLine="720"/>
      </w:pPr>
      <w:r>
        <w:t xml:space="preserve">However, violating employee rights by denying them a representative will automatically result in a case-and desist order and posting requirement. The employer can be ordered to rescind any threats imposed on the employee or a representative for exercising the rights. </w:t>
      </w:r>
      <w:r w:rsidR="008D4C9A">
        <w:t>Arguably,</w:t>
      </w:r>
      <w:r>
        <w:t xml:space="preserve"> any information that is obtained from an interview in violation of Weingarten's rights ought to be excluded from eventual discharge or discipline arbitration.</w:t>
      </w:r>
    </w:p>
    <w:p w:rsidR="00A9479D" w:rsidRDefault="00A9479D" w:rsidP="002B585B">
      <w:pPr>
        <w:spacing w:before="240" w:after="240" w:line="480" w:lineRule="auto"/>
        <w:ind w:firstLine="720"/>
      </w:pPr>
    </w:p>
    <w:p w:rsidR="002B585B" w:rsidRDefault="002B585B" w:rsidP="007E1DF2">
      <w:pPr>
        <w:spacing w:before="240" w:after="240" w:line="480" w:lineRule="auto"/>
      </w:pPr>
    </w:p>
    <w:p w:rsidR="007E1DF2" w:rsidRDefault="007E1DF2" w:rsidP="007E1DF2">
      <w:pPr>
        <w:spacing w:before="240" w:after="240" w:line="480" w:lineRule="auto"/>
      </w:pPr>
    </w:p>
    <w:p w:rsidR="002B585B" w:rsidRDefault="002B585B" w:rsidP="00B8670D">
      <w:pPr>
        <w:spacing w:before="240" w:after="240" w:line="480" w:lineRule="auto"/>
        <w:jc w:val="center"/>
      </w:pPr>
      <w:r>
        <w:t>References</w:t>
      </w:r>
    </w:p>
    <w:p w:rsidR="002B585B" w:rsidRDefault="00B8670D" w:rsidP="002B585B">
      <w:pPr>
        <w:spacing w:line="480" w:lineRule="auto"/>
        <w:ind w:left="720" w:hanging="720"/>
      </w:pPr>
      <w:r w:rsidRPr="00761648">
        <w:t>Center</w:t>
      </w:r>
      <w:r w:rsidR="002B585B" w:rsidRPr="00761648">
        <w:t>, B. O. A., &amp; II, T. (2017). National Labor Relations Board.</w:t>
      </w:r>
    </w:p>
    <w:p w:rsidR="007E1DF2" w:rsidRDefault="002B585B" w:rsidP="007E1DF2">
      <w:pPr>
        <w:spacing w:line="480" w:lineRule="auto"/>
        <w:ind w:left="720" w:hanging="720"/>
      </w:pPr>
      <w:r w:rsidRPr="00761648">
        <w:t xml:space="preserve">Johns, D. V. (2016). The National Labor Relations Board's Misapplication of Weingarten Rights to Employer Substance Abuse Testing Programs. </w:t>
      </w:r>
      <w:r w:rsidRPr="00761648">
        <w:rPr>
          <w:i/>
          <w:iCs/>
        </w:rPr>
        <w:t>Labor Law Journal</w:t>
      </w:r>
      <w:r w:rsidRPr="00761648">
        <w:t xml:space="preserve">, </w:t>
      </w:r>
      <w:r w:rsidRPr="00761648">
        <w:rPr>
          <w:i/>
          <w:iCs/>
        </w:rPr>
        <w:t>67</w:t>
      </w:r>
      <w:r w:rsidRPr="00761648">
        <w:t>(1), 285.</w:t>
      </w:r>
    </w:p>
    <w:p w:rsidR="007E1DF2" w:rsidRDefault="007E1DF2" w:rsidP="007E1DF2">
      <w:pPr>
        <w:spacing w:line="480" w:lineRule="auto"/>
        <w:ind w:left="720" w:hanging="720"/>
      </w:pPr>
      <w:r>
        <w:t xml:space="preserve">Murphy, R. (2020). Why unions survive: understanding how unions overcome the free-rider problem. </w:t>
      </w:r>
      <w:r>
        <w:rPr>
          <w:i/>
          <w:iCs/>
        </w:rPr>
        <w:t>Journal of Labor Economics</w:t>
      </w:r>
      <w:r>
        <w:t xml:space="preserve">, </w:t>
      </w:r>
      <w:r>
        <w:rPr>
          <w:i/>
          <w:iCs/>
        </w:rPr>
        <w:t>38</w:t>
      </w:r>
      <w:r>
        <w:t>(4), 1141-1188.</w:t>
      </w:r>
    </w:p>
    <w:p w:rsidR="002B585B" w:rsidRDefault="002B585B" w:rsidP="002B585B">
      <w:pPr>
        <w:spacing w:line="480" w:lineRule="auto"/>
        <w:ind w:left="720" w:hanging="720"/>
      </w:pPr>
      <w:r w:rsidRPr="00761648">
        <w:t xml:space="preserve">O'Brien, C. N. (2016). I Swear-From Shoptalk to Social Media: The Top Ten National Labor Relations Board Profanity Cases. </w:t>
      </w:r>
      <w:r w:rsidRPr="00761648">
        <w:rPr>
          <w:i/>
          <w:iCs/>
        </w:rPr>
        <w:t>. John's L. Rev.</w:t>
      </w:r>
      <w:r w:rsidRPr="00761648">
        <w:t xml:space="preserve">, </w:t>
      </w:r>
      <w:r w:rsidRPr="00761648">
        <w:rPr>
          <w:i/>
          <w:iCs/>
        </w:rPr>
        <w:t>90</w:t>
      </w:r>
      <w:r w:rsidR="00B352B4" w:rsidRPr="00B352B4">
        <w:rPr>
          <w:iCs/>
        </w:rPr>
        <w:t>(1)</w:t>
      </w:r>
      <w:r w:rsidRPr="00B352B4">
        <w:t xml:space="preserve">, </w:t>
      </w:r>
      <w:r w:rsidRPr="00761648">
        <w:t>53.</w:t>
      </w:r>
    </w:p>
    <w:p w:rsidR="002B585B" w:rsidRDefault="002B585B" w:rsidP="002B585B">
      <w:pPr>
        <w:spacing w:line="480" w:lineRule="auto"/>
        <w:ind w:left="720" w:hanging="720"/>
      </w:pPr>
      <w:r w:rsidRPr="00761648">
        <w:t xml:space="preserve">Sachs, B. I. (2017). Law, Organizing, and Status Quo Vulnerability. </w:t>
      </w:r>
      <w:r w:rsidRPr="00761648">
        <w:rPr>
          <w:i/>
          <w:iCs/>
        </w:rPr>
        <w:t>Tex. L. Rev.</w:t>
      </w:r>
      <w:r w:rsidRPr="00761648">
        <w:t xml:space="preserve">, </w:t>
      </w:r>
      <w:r w:rsidRPr="00761648">
        <w:rPr>
          <w:i/>
          <w:iCs/>
        </w:rPr>
        <w:t>96</w:t>
      </w:r>
      <w:r w:rsidR="00B352B4" w:rsidRPr="00B352B4">
        <w:rPr>
          <w:iCs/>
        </w:rPr>
        <w:t>(2)</w:t>
      </w:r>
      <w:r w:rsidRPr="00B352B4">
        <w:t>,</w:t>
      </w:r>
      <w:r w:rsidRPr="00761648">
        <w:t xml:space="preserve"> 351.</w:t>
      </w:r>
    </w:p>
    <w:p w:rsidR="002B585B" w:rsidRPr="00761648" w:rsidRDefault="002B585B" w:rsidP="002B585B">
      <w:pPr>
        <w:spacing w:line="480" w:lineRule="auto"/>
        <w:ind w:left="720" w:hanging="720"/>
      </w:pPr>
      <w:r w:rsidRPr="00761648">
        <w:t xml:space="preserve">Swearengen, K. M. (2016). EI Dupont and Manhattan Beer: How Far Do Weingarten Rights Extend: A Union Perspective. </w:t>
      </w:r>
      <w:r w:rsidRPr="00761648">
        <w:rPr>
          <w:i/>
          <w:iCs/>
        </w:rPr>
        <w:t>ABAJ Lab. &amp; Emp. L.</w:t>
      </w:r>
      <w:r w:rsidRPr="00761648">
        <w:t xml:space="preserve">, </w:t>
      </w:r>
      <w:r w:rsidRPr="00761648">
        <w:rPr>
          <w:i/>
          <w:iCs/>
        </w:rPr>
        <w:t>32</w:t>
      </w:r>
      <w:r w:rsidR="009921F7" w:rsidRPr="009921F7">
        <w:rPr>
          <w:iCs/>
        </w:rPr>
        <w:t>(1)</w:t>
      </w:r>
      <w:r w:rsidRPr="009921F7">
        <w:t>,</w:t>
      </w:r>
      <w:r w:rsidRPr="00761648">
        <w:t xml:space="preserve"> 113.</w:t>
      </w:r>
    </w:p>
    <w:p w:rsidR="002B585B" w:rsidRDefault="002B585B" w:rsidP="002B585B">
      <w:pPr>
        <w:spacing w:before="240" w:after="240" w:line="480" w:lineRule="auto"/>
        <w:ind w:left="720" w:hanging="720"/>
      </w:pPr>
    </w:p>
    <w:sectPr w:rsidR="002B585B">
      <w:headerReference w:type="default" r:id="rId8"/>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06FF" w:rsidRDefault="00F506FF" w:rsidP="00AA7D14">
      <w:r>
        <w:separator/>
      </w:r>
    </w:p>
  </w:endnote>
  <w:endnote w:type="continuationSeparator" w:id="0">
    <w:p w:rsidR="00F506FF" w:rsidRDefault="00F506FF" w:rsidP="00AA7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06FF" w:rsidRDefault="00F506FF" w:rsidP="00AA7D14">
      <w:r>
        <w:separator/>
      </w:r>
    </w:p>
  </w:footnote>
  <w:footnote w:type="continuationSeparator" w:id="0">
    <w:p w:rsidR="00F506FF" w:rsidRDefault="00F506FF" w:rsidP="00AA7D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4202865"/>
      <w:docPartObj>
        <w:docPartGallery w:val="Page Numbers (Top of Page)"/>
        <w:docPartUnique/>
      </w:docPartObj>
    </w:sdtPr>
    <w:sdtEndPr>
      <w:rPr>
        <w:noProof/>
      </w:rPr>
    </w:sdtEndPr>
    <w:sdtContent>
      <w:p w:rsidR="00AA7D14" w:rsidRDefault="00AA7D14">
        <w:pPr>
          <w:pStyle w:val="Header"/>
          <w:jc w:val="right"/>
        </w:pPr>
        <w:r>
          <w:fldChar w:fldCharType="begin"/>
        </w:r>
        <w:r>
          <w:instrText xml:space="preserve"> PAGE   \* MERGEFORMAT </w:instrText>
        </w:r>
        <w:r>
          <w:fldChar w:fldCharType="separate"/>
        </w:r>
        <w:r w:rsidR="00F506FF">
          <w:rPr>
            <w:noProof/>
          </w:rPr>
          <w:t>1</w:t>
        </w:r>
        <w:r>
          <w:rPr>
            <w:noProof/>
          </w:rPr>
          <w:fldChar w:fldCharType="end"/>
        </w:r>
      </w:p>
    </w:sdtContent>
  </w:sdt>
  <w:p w:rsidR="00AA7D14" w:rsidRDefault="00AA7D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984F37"/>
    <w:multiLevelType w:val="hybridMultilevel"/>
    <w:tmpl w:val="5CEC45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M2MTczNDYwNTYytjRU0lEKTi0uzszPAykwrAUA2IJd/ywAAAA="/>
  </w:docVars>
  <w:rsids>
    <w:rsidRoot w:val="00A9479D"/>
    <w:rsid w:val="00007038"/>
    <w:rsid w:val="000A797B"/>
    <w:rsid w:val="001C6C40"/>
    <w:rsid w:val="00211806"/>
    <w:rsid w:val="002607BF"/>
    <w:rsid w:val="002B585B"/>
    <w:rsid w:val="0031764D"/>
    <w:rsid w:val="00403601"/>
    <w:rsid w:val="004C3356"/>
    <w:rsid w:val="004C5B47"/>
    <w:rsid w:val="00530EB2"/>
    <w:rsid w:val="00583181"/>
    <w:rsid w:val="00586472"/>
    <w:rsid w:val="006305F1"/>
    <w:rsid w:val="007E1DF2"/>
    <w:rsid w:val="007E624F"/>
    <w:rsid w:val="008435C1"/>
    <w:rsid w:val="00846236"/>
    <w:rsid w:val="00874CA2"/>
    <w:rsid w:val="0089076A"/>
    <w:rsid w:val="008D4C9A"/>
    <w:rsid w:val="008E607D"/>
    <w:rsid w:val="009921F7"/>
    <w:rsid w:val="00A80686"/>
    <w:rsid w:val="00A9479D"/>
    <w:rsid w:val="00AA7D14"/>
    <w:rsid w:val="00B352B4"/>
    <w:rsid w:val="00B8670D"/>
    <w:rsid w:val="00B873EC"/>
    <w:rsid w:val="00BA3974"/>
    <w:rsid w:val="00BC5E27"/>
    <w:rsid w:val="00C829BB"/>
    <w:rsid w:val="00DE2B08"/>
    <w:rsid w:val="00E8799E"/>
    <w:rsid w:val="00EE2D06"/>
    <w:rsid w:val="00F24BEE"/>
    <w:rsid w:val="00F50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59B6E4-3D8D-41E0-9878-7A2E458B4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Header">
    <w:name w:val="header"/>
    <w:basedOn w:val="Normal"/>
    <w:link w:val="HeaderChar"/>
    <w:uiPriority w:val="99"/>
    <w:unhideWhenUsed/>
    <w:rsid w:val="00AA7D14"/>
    <w:pPr>
      <w:tabs>
        <w:tab w:val="center" w:pos="4680"/>
        <w:tab w:val="right" w:pos="9360"/>
      </w:tabs>
    </w:pPr>
  </w:style>
  <w:style w:type="character" w:customStyle="1" w:styleId="HeaderChar">
    <w:name w:val="Header Char"/>
    <w:basedOn w:val="DefaultParagraphFont"/>
    <w:link w:val="Header"/>
    <w:uiPriority w:val="99"/>
    <w:rsid w:val="00AA7D14"/>
    <w:rPr>
      <w:sz w:val="24"/>
      <w:szCs w:val="24"/>
    </w:rPr>
  </w:style>
  <w:style w:type="paragraph" w:styleId="Footer">
    <w:name w:val="footer"/>
    <w:basedOn w:val="Normal"/>
    <w:link w:val="FooterChar"/>
    <w:uiPriority w:val="99"/>
    <w:unhideWhenUsed/>
    <w:rsid w:val="00AA7D14"/>
    <w:pPr>
      <w:tabs>
        <w:tab w:val="center" w:pos="4680"/>
        <w:tab w:val="right" w:pos="9360"/>
      </w:tabs>
    </w:pPr>
  </w:style>
  <w:style w:type="character" w:customStyle="1" w:styleId="FooterChar">
    <w:name w:val="Footer Char"/>
    <w:basedOn w:val="DefaultParagraphFont"/>
    <w:link w:val="Footer"/>
    <w:uiPriority w:val="99"/>
    <w:rsid w:val="00AA7D14"/>
    <w:rPr>
      <w:sz w:val="24"/>
      <w:szCs w:val="24"/>
    </w:rPr>
  </w:style>
  <w:style w:type="paragraph" w:styleId="ListParagraph">
    <w:name w:val="List Paragraph"/>
    <w:basedOn w:val="Normal"/>
    <w:uiPriority w:val="34"/>
    <w:qFormat/>
    <w:rsid w:val="00B867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1945437">
      <w:bodyDiv w:val="1"/>
      <w:marLeft w:val="0"/>
      <w:marRight w:val="0"/>
      <w:marTop w:val="0"/>
      <w:marBottom w:val="0"/>
      <w:divBdr>
        <w:top w:val="none" w:sz="0" w:space="0" w:color="auto"/>
        <w:left w:val="none" w:sz="0" w:space="0" w:color="auto"/>
        <w:bottom w:val="none" w:sz="0" w:space="0" w:color="auto"/>
        <w:right w:val="none" w:sz="0" w:space="0" w:color="auto"/>
      </w:divBdr>
      <w:divsChild>
        <w:div w:id="75682817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07FF12-3754-4D34-AED3-72D9C7D6D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1785</Words>
  <Characters>10178</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Mwangi</dc:creator>
  <cp:lastModifiedBy>User</cp:lastModifiedBy>
  <cp:revision>2</cp:revision>
  <dcterms:created xsi:type="dcterms:W3CDTF">2021-09-30T12:20:00Z</dcterms:created>
  <dcterms:modified xsi:type="dcterms:W3CDTF">2021-09-30T12:20:00Z</dcterms:modified>
</cp:coreProperties>
</file>